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07579A" w:rsidRPr="0007579A" w:rsidRDefault="0007579A" w:rsidP="0007579A">
      <w:pPr>
        <w:autoSpaceDE w:val="0"/>
        <w:autoSpaceDN w:val="0"/>
        <w:adjustRightInd w:val="0"/>
        <w:ind w:firstLine="1080"/>
        <w:jc w:val="center"/>
        <w:rPr>
          <w:rFonts w:ascii="Arial" w:hAnsi="Arial" w:cs="Arial"/>
          <w:b/>
          <w:color w:val="000000"/>
          <w:sz w:val="20"/>
          <w:szCs w:val="20"/>
        </w:rPr>
      </w:pPr>
      <w:r w:rsidRPr="0007579A">
        <w:rPr>
          <w:rFonts w:ascii="Arial" w:hAnsi="Arial" w:cs="Arial"/>
          <w:b/>
          <w:color w:val="000000"/>
          <w:sz w:val="20"/>
          <w:szCs w:val="20"/>
        </w:rPr>
        <w:t>ED</w:t>
      </w:r>
      <w:r>
        <w:rPr>
          <w:rFonts w:ascii="Arial" w:hAnsi="Arial" w:cs="Arial"/>
          <w:b/>
          <w:color w:val="000000"/>
          <w:sz w:val="20"/>
          <w:szCs w:val="20"/>
        </w:rPr>
        <w:t xml:space="preserve">ITAL DE PREGÃO PRESENCIAL NO </w:t>
      </w:r>
      <w:r w:rsidR="007665DF">
        <w:rPr>
          <w:rFonts w:ascii="Arial" w:hAnsi="Arial" w:cs="Arial"/>
          <w:b/>
          <w:color w:val="000000"/>
          <w:sz w:val="20"/>
          <w:szCs w:val="20"/>
        </w:rPr>
        <w:t>004/FMS/2019</w:t>
      </w:r>
    </w:p>
    <w:p w:rsidR="0007579A" w:rsidRDefault="0007579A" w:rsidP="00173487">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Sistema Registro de Preços — SRP</w:t>
      </w: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Pr>
          <w:rFonts w:ascii="Arial" w:hAnsi="Arial" w:cs="Arial"/>
          <w:color w:val="000000"/>
          <w:sz w:val="20"/>
          <w:szCs w:val="20"/>
        </w:rPr>
        <w:t>MATERIAIS MÉDICOS</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 xml:space="preserve">029/2007, 25/2016 e 42/2017 </w:t>
      </w:r>
      <w:r>
        <w:rPr>
          <w:rFonts w:ascii="Arial" w:hAnsi="Arial" w:cs="Arial"/>
          <w:sz w:val="20"/>
          <w:szCs w:val="20"/>
        </w:rPr>
        <w:t>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Pr="00497C2C">
        <w:rPr>
          <w:rFonts w:ascii="Arial" w:hAnsi="Arial" w:cs="Arial"/>
          <w:b/>
          <w:bCs/>
          <w:sz w:val="20"/>
          <w:szCs w:val="20"/>
        </w:rPr>
        <w:t>até</w:t>
      </w:r>
      <w:r w:rsidRPr="00497C2C">
        <w:rPr>
          <w:rFonts w:ascii="Arial" w:hAnsi="Arial" w:cs="Arial"/>
          <w:sz w:val="20"/>
          <w:szCs w:val="20"/>
        </w:rPr>
        <w:t xml:space="preserve"> </w:t>
      </w:r>
      <w:r w:rsidRPr="00497C2C">
        <w:rPr>
          <w:rFonts w:ascii="Arial" w:hAnsi="Arial" w:cs="Arial"/>
          <w:b/>
          <w:bCs/>
          <w:sz w:val="20"/>
          <w:szCs w:val="20"/>
        </w:rPr>
        <w:t xml:space="preserve">às </w:t>
      </w:r>
      <w:r w:rsidR="001467E0" w:rsidRPr="00497C2C">
        <w:rPr>
          <w:rFonts w:ascii="Arial" w:hAnsi="Arial" w:cs="Arial"/>
          <w:b/>
          <w:bCs/>
          <w:sz w:val="20"/>
          <w:szCs w:val="20"/>
        </w:rPr>
        <w:t>8</w:t>
      </w:r>
      <w:r w:rsidRPr="00497C2C">
        <w:rPr>
          <w:rFonts w:ascii="Arial" w:hAnsi="Arial" w:cs="Arial"/>
          <w:b/>
          <w:bCs/>
          <w:sz w:val="20"/>
          <w:szCs w:val="20"/>
        </w:rPr>
        <w:t xml:space="preserve">h15min do dia </w:t>
      </w:r>
      <w:r w:rsidR="00B83111">
        <w:rPr>
          <w:rFonts w:ascii="Arial" w:hAnsi="Arial" w:cs="Arial"/>
          <w:b/>
          <w:bCs/>
          <w:sz w:val="20"/>
          <w:szCs w:val="20"/>
        </w:rPr>
        <w:t>14</w:t>
      </w:r>
      <w:r w:rsidR="00A45665">
        <w:rPr>
          <w:rFonts w:ascii="Arial" w:hAnsi="Arial" w:cs="Arial"/>
          <w:b/>
          <w:bCs/>
          <w:sz w:val="20"/>
          <w:szCs w:val="20"/>
        </w:rPr>
        <w:t>/03/2019</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1467E0" w:rsidRPr="00497C2C">
        <w:rPr>
          <w:rFonts w:ascii="Arial" w:hAnsi="Arial" w:cs="Arial"/>
          <w:b/>
          <w:bCs/>
          <w:sz w:val="20"/>
          <w:szCs w:val="20"/>
        </w:rPr>
        <w:t>8</w:t>
      </w:r>
      <w:r w:rsidRPr="00497C2C">
        <w:rPr>
          <w:rFonts w:ascii="Arial" w:hAnsi="Arial" w:cs="Arial"/>
          <w:b/>
          <w:bCs/>
          <w:sz w:val="20"/>
          <w:szCs w:val="20"/>
        </w:rPr>
        <w:t xml:space="preserve">h30min do dia </w:t>
      </w:r>
      <w:r w:rsidR="00B83111">
        <w:rPr>
          <w:rFonts w:ascii="Arial" w:hAnsi="Arial" w:cs="Arial"/>
          <w:b/>
          <w:bCs/>
          <w:sz w:val="20"/>
          <w:szCs w:val="20"/>
        </w:rPr>
        <w:t>14/</w:t>
      </w:r>
      <w:r w:rsidR="00A45665">
        <w:rPr>
          <w:rFonts w:ascii="Arial" w:hAnsi="Arial" w:cs="Arial"/>
          <w:b/>
          <w:bCs/>
          <w:sz w:val="20"/>
          <w:szCs w:val="20"/>
        </w:rPr>
        <w:t>03/2019</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r w:rsidR="00C23084">
        <w:rPr>
          <w:rFonts w:ascii="Arial" w:hAnsi="Arial" w:cs="Arial"/>
          <w:color w:val="000000"/>
          <w:sz w:val="20"/>
          <w:szCs w:val="20"/>
        </w:rPr>
        <w:t>as presentes licitações serão</w:t>
      </w:r>
      <w:r>
        <w:rPr>
          <w:rFonts w:ascii="Arial" w:hAnsi="Arial" w:cs="Arial"/>
          <w:color w:val="000000"/>
          <w:sz w:val="20"/>
          <w:szCs w:val="20"/>
        </w:rPr>
        <w:t xml:space="preserve">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r w:rsidR="00C23084">
        <w:rPr>
          <w:rFonts w:ascii="Arial" w:hAnsi="Arial" w:cs="Arial"/>
          <w:color w:val="000000"/>
          <w:sz w:val="20"/>
          <w:szCs w:val="20"/>
        </w:rPr>
        <w:t>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Default="009B6BF9">
      <w:pPr>
        <w:autoSpaceDE w:val="0"/>
        <w:autoSpaceDN w:val="0"/>
        <w:adjustRightInd w:val="0"/>
        <w:ind w:firstLine="1080"/>
        <w:jc w:val="both"/>
        <w:rPr>
          <w:rFonts w:ascii="Arial" w:hAnsi="Arial" w:cs="Arial"/>
          <w:color w:val="000000"/>
          <w:sz w:val="20"/>
          <w:szCs w:val="20"/>
        </w:rPr>
      </w:pPr>
      <w:r w:rsidRPr="00EA5466">
        <w:rPr>
          <w:rFonts w:ascii="Arial" w:hAnsi="Arial" w:cs="Arial"/>
          <w:b/>
          <w:sz w:val="20"/>
          <w:szCs w:val="20"/>
        </w:rPr>
        <w:t>Contratação de pessoa jurídica para aquisição de “</w:t>
      </w:r>
      <w:r w:rsidRPr="00EA5466">
        <w:rPr>
          <w:rFonts w:ascii="Arial" w:hAnsi="Arial" w:cs="Arial"/>
          <w:b/>
          <w:bCs/>
          <w:sz w:val="20"/>
          <w:szCs w:val="20"/>
        </w:rPr>
        <w:t xml:space="preserve">Material de Consumo </w:t>
      </w:r>
      <w:r>
        <w:rPr>
          <w:rFonts w:ascii="Arial" w:hAnsi="Arial" w:cs="Arial"/>
          <w:b/>
          <w:bCs/>
          <w:sz w:val="20"/>
          <w:szCs w:val="20"/>
        </w:rPr>
        <w:t>Médico Hospitalar</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w:t>
      </w:r>
      <w:r w:rsidR="00181A9A">
        <w:rPr>
          <w:rFonts w:ascii="Arial" w:hAnsi="Arial" w:cs="Arial"/>
          <w:b/>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w:t>
      </w:r>
      <w:r w:rsidR="00C23084">
        <w:rPr>
          <w:rFonts w:ascii="Arial" w:hAnsi="Arial" w:cs="Arial"/>
          <w:b/>
          <w:sz w:val="20"/>
          <w:szCs w:val="20"/>
        </w:rPr>
        <w:t>RECURSOS FINANCEIROS</w:t>
      </w:r>
    </w:p>
    <w:p w:rsidR="00432A9F" w:rsidRDefault="00432A9F">
      <w:pPr>
        <w:jc w:val="both"/>
        <w:rPr>
          <w:rFonts w:ascii="Arial" w:hAnsi="Arial" w:cs="Arial"/>
          <w:sz w:val="20"/>
          <w:szCs w:val="20"/>
        </w:rPr>
      </w:pPr>
    </w:p>
    <w:p w:rsidR="00EC671A" w:rsidRPr="007665DF" w:rsidRDefault="00A31645" w:rsidP="00A31645">
      <w:pPr>
        <w:jc w:val="both"/>
        <w:rPr>
          <w:rFonts w:ascii="Arial" w:hAnsi="Arial" w:cs="Arial"/>
          <w:sz w:val="20"/>
          <w:szCs w:val="20"/>
        </w:rPr>
      </w:pPr>
      <w:r w:rsidRPr="007665DF">
        <w:rPr>
          <w:rFonts w:ascii="Arial" w:hAnsi="Arial" w:cs="Arial"/>
          <w:sz w:val="20"/>
          <w:szCs w:val="20"/>
        </w:rPr>
        <w:t xml:space="preserve">3.1-  </w:t>
      </w:r>
      <w:r w:rsidR="00432A9F" w:rsidRPr="007665DF">
        <w:rPr>
          <w:rFonts w:ascii="Arial" w:hAnsi="Arial" w:cs="Arial"/>
          <w:sz w:val="20"/>
          <w:szCs w:val="20"/>
        </w:rPr>
        <w:t xml:space="preserve">Os recursos financeiros serão atendidos pela dotação do </w:t>
      </w:r>
      <w:r w:rsidR="00EF1E30" w:rsidRPr="007665DF">
        <w:rPr>
          <w:rFonts w:ascii="Arial" w:hAnsi="Arial" w:cs="Arial"/>
          <w:sz w:val="20"/>
          <w:szCs w:val="20"/>
        </w:rPr>
        <w:t xml:space="preserve">ano de </w:t>
      </w:r>
      <w:r w:rsidR="007665DF">
        <w:rPr>
          <w:rFonts w:ascii="Arial" w:hAnsi="Arial" w:cs="Arial"/>
          <w:sz w:val="20"/>
          <w:szCs w:val="20"/>
        </w:rPr>
        <w:t>2019</w:t>
      </w:r>
      <w:r w:rsidR="00432A9F" w:rsidRPr="007665DF">
        <w:rPr>
          <w:rFonts w:ascii="Arial" w:hAnsi="Arial" w:cs="Arial"/>
          <w:sz w:val="20"/>
          <w:szCs w:val="20"/>
        </w:rPr>
        <w:t xml:space="preserve"> classificada e codificada sob o nº: </w:t>
      </w:r>
    </w:p>
    <w:p w:rsidR="004E6C8B" w:rsidRPr="007665DF" w:rsidRDefault="00F243EE" w:rsidP="00A31645">
      <w:pPr>
        <w:jc w:val="both"/>
        <w:rPr>
          <w:rFonts w:ascii="Arial" w:hAnsi="Arial" w:cs="Arial"/>
          <w:b/>
          <w:sz w:val="20"/>
          <w:szCs w:val="20"/>
        </w:rPr>
      </w:pPr>
      <w:r w:rsidRPr="007665DF">
        <w:rPr>
          <w:rFonts w:ascii="Arial" w:hAnsi="Arial" w:cs="Arial"/>
          <w:b/>
          <w:sz w:val="20"/>
          <w:szCs w:val="20"/>
        </w:rPr>
        <w:t>10</w:t>
      </w:r>
      <w:r w:rsidR="006A71EF" w:rsidRPr="007665DF">
        <w:rPr>
          <w:rFonts w:ascii="Arial" w:hAnsi="Arial" w:cs="Arial"/>
          <w:b/>
          <w:sz w:val="20"/>
          <w:szCs w:val="20"/>
        </w:rPr>
        <w:t>.</w:t>
      </w:r>
      <w:r w:rsidRPr="007665DF">
        <w:rPr>
          <w:rFonts w:ascii="Arial" w:hAnsi="Arial" w:cs="Arial"/>
          <w:b/>
          <w:sz w:val="20"/>
          <w:szCs w:val="20"/>
        </w:rPr>
        <w:t>01.2</w:t>
      </w:r>
      <w:r w:rsidR="00D30A38" w:rsidRPr="007665DF">
        <w:rPr>
          <w:rFonts w:ascii="Arial" w:hAnsi="Arial" w:cs="Arial"/>
          <w:b/>
          <w:sz w:val="20"/>
          <w:szCs w:val="20"/>
        </w:rPr>
        <w:t>.040</w:t>
      </w:r>
      <w:r w:rsidR="009B6BF9" w:rsidRPr="007665DF">
        <w:rPr>
          <w:rFonts w:ascii="Arial" w:hAnsi="Arial" w:cs="Arial"/>
          <w:b/>
          <w:sz w:val="20"/>
          <w:szCs w:val="20"/>
        </w:rPr>
        <w:t>.3.3.90.30.00.00.00.00</w:t>
      </w:r>
    </w:p>
    <w:p w:rsidR="00D30A38" w:rsidRPr="007665DF" w:rsidRDefault="00D30A38" w:rsidP="00A31645">
      <w:pPr>
        <w:jc w:val="both"/>
        <w:rPr>
          <w:rFonts w:ascii="Arial" w:hAnsi="Arial" w:cs="Arial"/>
          <w:b/>
          <w:sz w:val="20"/>
          <w:szCs w:val="20"/>
        </w:rPr>
      </w:pPr>
      <w:r w:rsidRPr="007665DF">
        <w:rPr>
          <w:rFonts w:ascii="Arial" w:hAnsi="Arial" w:cs="Arial"/>
          <w:b/>
          <w:sz w:val="20"/>
          <w:szCs w:val="20"/>
        </w:rPr>
        <w:t>10.01.2..41.3.3.90.30.00.00.00.00</w:t>
      </w:r>
    </w:p>
    <w:p w:rsidR="004E6C8B" w:rsidRPr="00A45665" w:rsidRDefault="004E6C8B" w:rsidP="00A31645">
      <w:pPr>
        <w:jc w:val="both"/>
        <w:rPr>
          <w:rFonts w:ascii="Arial" w:hAnsi="Arial" w:cs="Arial"/>
          <w:color w:val="FF0000"/>
          <w:sz w:val="20"/>
        </w:rPr>
      </w:pPr>
    </w:p>
    <w:p w:rsidR="00EB3190" w:rsidRPr="007665DF" w:rsidRDefault="00EB3190" w:rsidP="00A31645">
      <w:pPr>
        <w:jc w:val="both"/>
        <w:rPr>
          <w:rFonts w:ascii="Arial" w:hAnsi="Arial" w:cs="Arial"/>
          <w:b/>
          <w:sz w:val="20"/>
        </w:rPr>
      </w:pPr>
      <w:r w:rsidRPr="007665DF">
        <w:rPr>
          <w:rFonts w:ascii="Arial" w:hAnsi="Arial" w:cs="Arial"/>
          <w:sz w:val="20"/>
        </w:rPr>
        <w:lastRenderedPageBreak/>
        <w:t>3.2</w:t>
      </w:r>
      <w:r w:rsidR="00A31645" w:rsidRPr="007665DF">
        <w:rPr>
          <w:rFonts w:ascii="Arial" w:hAnsi="Arial" w:cs="Arial"/>
          <w:sz w:val="20"/>
        </w:rPr>
        <w:t xml:space="preserve">- </w:t>
      </w:r>
      <w:r w:rsidRPr="007665DF">
        <w:rPr>
          <w:rFonts w:ascii="Arial" w:hAnsi="Arial" w:cs="Arial"/>
          <w:sz w:val="20"/>
        </w:rPr>
        <w:t xml:space="preserve">Do valor previsto: O valor global máximo estabelecido para a aquisição será de </w:t>
      </w:r>
      <w:r w:rsidR="007665DF" w:rsidRPr="007665DF">
        <w:rPr>
          <w:rFonts w:ascii="Arial" w:hAnsi="Arial" w:cs="Arial"/>
          <w:b/>
          <w:sz w:val="20"/>
        </w:rPr>
        <w:t>R$ 389.981,80 (trezentos e oitenta e nove mil novecentos e oitenta e um reais e oitenta centavos).</w:t>
      </w:r>
    </w:p>
    <w:p w:rsidR="00EB3190" w:rsidRPr="00D30A38"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6B463A" w:rsidRPr="00497C2C">
        <w:rPr>
          <w:rFonts w:ascii="Arial" w:hAnsi="Arial" w:cs="Arial"/>
          <w:b/>
          <w:sz w:val="20"/>
          <w:szCs w:val="20"/>
        </w:rPr>
        <w:t>8</w:t>
      </w:r>
      <w:r w:rsidRPr="00497C2C">
        <w:rPr>
          <w:rFonts w:ascii="Arial" w:hAnsi="Arial" w:cs="Arial"/>
          <w:b/>
          <w:sz w:val="20"/>
          <w:szCs w:val="20"/>
        </w:rPr>
        <w:t>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7665DF">
        <w:rPr>
          <w:rFonts w:ascii="Arial" w:hAnsi="Arial" w:cs="Arial"/>
          <w:b/>
          <w:sz w:val="20"/>
          <w:szCs w:val="20"/>
        </w:rPr>
        <w:t>14/03/2019</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7665DF">
        <w:rPr>
          <w:rFonts w:ascii="Arial" w:hAnsi="Arial" w:cs="Arial"/>
          <w:b/>
          <w:snapToGrid w:val="0"/>
          <w:sz w:val="20"/>
          <w:szCs w:val="20"/>
        </w:rPr>
        <w:t>004/FMS/2019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C23084">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9B6BF9">
        <w:rPr>
          <w:rFonts w:ascii="Arial" w:hAnsi="Arial" w:cs="Arial"/>
          <w:b/>
          <w:color w:val="000000"/>
          <w:sz w:val="20"/>
          <w:szCs w:val="20"/>
        </w:rPr>
        <w:t>2 (duas) casas 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7665DF">
        <w:rPr>
          <w:b/>
          <w:sz w:val="23"/>
          <w:szCs w:val="23"/>
        </w:rPr>
        <w:t>TACAO_PR_04</w:t>
      </w:r>
      <w:r w:rsidR="00AF7709">
        <w:rPr>
          <w:b/>
          <w:sz w:val="23"/>
          <w:szCs w:val="23"/>
        </w:rPr>
        <w:t>_</w:t>
      </w:r>
      <w:r w:rsidR="007665DF">
        <w:rPr>
          <w:b/>
          <w:sz w:val="23"/>
          <w:szCs w:val="23"/>
        </w:rPr>
        <w:t>2019</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r w:rsidRPr="0007579A">
        <w:rPr>
          <w:rFonts w:ascii="Arial" w:hAnsi="Arial" w:cs="Arial"/>
          <w:sz w:val="19"/>
          <w:szCs w:val="19"/>
        </w:rPr>
        <w:t>http://download.betha.com.br/discosver.jsp?rdn=151216115714&amp;s=33&amp;v=2.0.</w:t>
      </w:r>
      <w:r w:rsidR="0007579A">
        <w:rPr>
          <w:rFonts w:ascii="Arial" w:hAnsi="Arial" w:cs="Arial"/>
          <w:sz w:val="19"/>
          <w:szCs w:val="19"/>
        </w:rPr>
        <w:t>25</w:t>
      </w:r>
    </w:p>
    <w:p w:rsidR="00C44149" w:rsidRDefault="00C44149" w:rsidP="00C44149">
      <w:pPr>
        <w:autoSpaceDE w:val="0"/>
        <w:autoSpaceDN w:val="0"/>
        <w:adjustRightInd w:val="0"/>
        <w:ind w:firstLine="993"/>
        <w:rPr>
          <w:rFonts w:ascii="Arial" w:hAnsi="Arial" w:cs="Arial"/>
          <w:sz w:val="19"/>
          <w:szCs w:val="19"/>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FF024E">
        <w:rPr>
          <w:rFonts w:ascii="Arial" w:hAnsi="Arial" w:cs="Arial"/>
          <w:b/>
          <w:color w:val="000000"/>
          <w:sz w:val="20"/>
          <w:szCs w:val="20"/>
        </w:rPr>
        <w:t>8</w:t>
      </w:r>
      <w:r>
        <w:rPr>
          <w:rFonts w:ascii="Arial" w:hAnsi="Arial" w:cs="Arial"/>
          <w:b/>
          <w:color w:val="000000"/>
          <w:sz w:val="20"/>
          <w:szCs w:val="20"/>
        </w:rPr>
        <w:t>h15min do dia</w:t>
      </w:r>
      <w:r>
        <w:rPr>
          <w:rFonts w:ascii="Arial" w:hAnsi="Arial" w:cs="Arial"/>
          <w:color w:val="000000"/>
          <w:sz w:val="20"/>
          <w:szCs w:val="20"/>
        </w:rPr>
        <w:t xml:space="preserve"> </w:t>
      </w:r>
      <w:r w:rsidR="007665DF">
        <w:rPr>
          <w:rFonts w:ascii="Arial" w:hAnsi="Arial" w:cs="Arial"/>
          <w:b/>
          <w:color w:val="000000"/>
          <w:sz w:val="20"/>
          <w:szCs w:val="20"/>
        </w:rPr>
        <w:t>14/03/2019</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7665DF">
        <w:rPr>
          <w:rFonts w:ascii="Arial" w:hAnsi="Arial" w:cs="Arial"/>
          <w:b/>
          <w:snapToGrid w:val="0"/>
          <w:sz w:val="20"/>
          <w:szCs w:val="20"/>
        </w:rPr>
        <w:t>004/FMS/2019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F0E0"/>
      </w:r>
      <w:r>
        <w:rPr>
          <w:rFonts w:ascii="Arial" w:hAnsi="Arial" w:cs="Arial"/>
          <w:b/>
          <w:bCs/>
          <w:color w:val="000000"/>
          <w:sz w:val="20"/>
          <w:szCs w:val="20"/>
          <w:u w:val="single"/>
        </w:rPr>
        <w:t xml:space="preserve"> Quanto </w:t>
      </w:r>
      <w:r w:rsidR="004D337E">
        <w:rPr>
          <w:rFonts w:ascii="Arial" w:hAnsi="Arial" w:cs="Arial"/>
          <w:b/>
          <w:bCs/>
          <w:color w:val="000000"/>
          <w:sz w:val="20"/>
          <w:szCs w:val="20"/>
          <w:u w:val="single"/>
        </w:rPr>
        <w:t>à</w:t>
      </w:r>
      <w:r>
        <w:rPr>
          <w:rFonts w:ascii="Arial" w:hAnsi="Arial" w:cs="Arial"/>
          <w:b/>
          <w:bCs/>
          <w:color w:val="000000"/>
          <w:sz w:val="20"/>
          <w:szCs w:val="20"/>
          <w:u w:val="single"/>
        </w:rPr>
        <w:t xml:space="preserve"> qualificação técnica</w:t>
      </w:r>
      <w:r w:rsidR="00275B36">
        <w:rPr>
          <w:rFonts w:ascii="Arial" w:hAnsi="Arial" w:cs="Arial"/>
          <w:b/>
          <w:bCs/>
          <w:color w:val="000000"/>
          <w:sz w:val="20"/>
          <w:szCs w:val="20"/>
          <w:u w:val="single"/>
        </w:rPr>
        <w:t>:</w:t>
      </w:r>
    </w:p>
    <w:p w:rsidR="00432A9F" w:rsidRDefault="00432A9F" w:rsidP="0013610D">
      <w:pPr>
        <w:numPr>
          <w:ilvl w:val="0"/>
          <w:numId w:val="6"/>
        </w:numPr>
        <w:autoSpaceDE w:val="0"/>
        <w:autoSpaceDN w:val="0"/>
        <w:adjustRightInd w:val="0"/>
        <w:jc w:val="both"/>
        <w:rPr>
          <w:rFonts w:ascii="Arial" w:hAnsi="Arial" w:cs="Arial"/>
          <w:color w:val="000000"/>
          <w:sz w:val="20"/>
          <w:szCs w:val="20"/>
        </w:rPr>
      </w:pPr>
      <w:r>
        <w:rPr>
          <w:rFonts w:ascii="Arial" w:hAnsi="Arial" w:cs="Arial"/>
          <w:color w:val="000000"/>
          <w:sz w:val="20"/>
          <w:szCs w:val="20"/>
        </w:rPr>
        <w:t>Licença Sanitária Estadual ou Municipal;</w:t>
      </w: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w:t>
      </w:r>
      <w:r w:rsidR="00C23084" w:rsidRPr="00AE3544">
        <w:rPr>
          <w:rFonts w:ascii="Arial" w:hAnsi="Arial" w:cs="Arial"/>
          <w:sz w:val="20"/>
        </w:rPr>
        <w:t>1999, regulamentada</w:t>
      </w:r>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C23084">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r w:rsidR="00C23084" w:rsidRPr="00467851">
        <w:rPr>
          <w:rFonts w:ascii="Arial" w:hAnsi="Arial" w:cs="Arial"/>
          <w:sz w:val="20"/>
        </w:rPr>
        <w:t>subsequentes</w:t>
      </w:r>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Pr>
          <w:rFonts w:ascii="Arial" w:hAnsi="Arial" w:cs="Arial"/>
          <w:b/>
          <w:color w:val="000000"/>
          <w:sz w:val="20"/>
          <w:szCs w:val="20"/>
        </w:rPr>
        <w:t>08</w:t>
      </w:r>
      <w:r w:rsidRPr="00E534AA">
        <w:rPr>
          <w:rFonts w:ascii="Arial" w:hAnsi="Arial" w:cs="Arial"/>
          <w:b/>
          <w:color w:val="000000"/>
          <w:sz w:val="20"/>
          <w:szCs w:val="20"/>
        </w:rPr>
        <w:t xml:space="preserve">h30min do dia </w:t>
      </w:r>
      <w:r w:rsidR="007665DF">
        <w:rPr>
          <w:rFonts w:ascii="Arial" w:hAnsi="Arial" w:cs="Arial"/>
          <w:b/>
          <w:color w:val="000000"/>
          <w:sz w:val="20"/>
          <w:szCs w:val="20"/>
        </w:rPr>
        <w:t>14/03/2019</w:t>
      </w:r>
      <w:r w:rsidRPr="00D23EC4">
        <w:rPr>
          <w:rFonts w:ascii="Arial" w:hAnsi="Arial" w:cs="Arial"/>
          <w:color w:val="000000"/>
          <w:sz w:val="20"/>
          <w:szCs w:val="20"/>
        </w:rPr>
        <w:t xml:space="preserve">, o pregoeiro fará a abertura da sessão pública do pregão, procedendo aos seguintes atos, em </w:t>
      </w:r>
      <w:r w:rsidR="00C23084" w:rsidRPr="00D23EC4">
        <w:rPr>
          <w:rFonts w:ascii="Arial" w:hAnsi="Arial" w:cs="Arial"/>
          <w:color w:val="000000"/>
          <w:sz w:val="20"/>
          <w:szCs w:val="20"/>
        </w:rPr>
        <w:t>sequência</w:t>
      </w:r>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lastRenderedPageBreak/>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r w:rsidR="00C23084" w:rsidRPr="00226369">
        <w:rPr>
          <w:rFonts w:ascii="Arial" w:hAnsi="Arial" w:cs="Arial"/>
          <w:sz w:val="20"/>
          <w:szCs w:val="20"/>
        </w:rPr>
        <w:t>análise</w:t>
      </w:r>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C23084"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C23084"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D00E30"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C23084"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lastRenderedPageBreak/>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w:t>
      </w:r>
      <w:r w:rsidR="00C23084" w:rsidRPr="00226369">
        <w:rPr>
          <w:rFonts w:ascii="Arial" w:hAnsi="Arial" w:cs="Arial"/>
          <w:sz w:val="20"/>
          <w:szCs w:val="20"/>
        </w:rPr>
        <w:t>de o</w:t>
      </w:r>
      <w:r w:rsidRPr="00226369">
        <w:rPr>
          <w:rFonts w:ascii="Arial" w:hAnsi="Arial" w:cs="Arial"/>
          <w:sz w:val="20"/>
          <w:szCs w:val="20"/>
        </w:rPr>
        <w:t xml:space="preserve"> Pregoeiro suspeitar que a proposta é </w:t>
      </w:r>
      <w:r w:rsidR="00C23084" w:rsidRPr="00226369">
        <w:rPr>
          <w:rFonts w:ascii="Arial" w:hAnsi="Arial" w:cs="Arial"/>
          <w:sz w:val="20"/>
          <w:szCs w:val="20"/>
        </w:rPr>
        <w:t>inexequível</w:t>
      </w:r>
      <w:r w:rsidRPr="00226369">
        <w:rPr>
          <w:rFonts w:ascii="Arial" w:hAnsi="Arial" w:cs="Arial"/>
          <w:sz w:val="20"/>
          <w:szCs w:val="20"/>
        </w:rPr>
        <w:t xml:space="preserve">, será realizada diligências para que o autor da proposta comprove que a mesma pode ser executada. Se este não comprovar a </w:t>
      </w:r>
      <w:r w:rsidR="00C23084" w:rsidRPr="00226369">
        <w:rPr>
          <w:rFonts w:ascii="Arial" w:hAnsi="Arial" w:cs="Arial"/>
          <w:sz w:val="20"/>
          <w:szCs w:val="20"/>
        </w:rPr>
        <w:t>exequibilidade</w:t>
      </w:r>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r w:rsidR="00C23084"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7665DF"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7665DF"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7665DF"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7665DF"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7665DF"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w:t>
      </w:r>
      <w:r w:rsidRPr="00226369">
        <w:rPr>
          <w:rFonts w:ascii="Arial" w:hAnsi="Arial" w:cs="Arial"/>
          <w:sz w:val="20"/>
          <w:szCs w:val="20"/>
        </w:rPr>
        <w:lastRenderedPageBreak/>
        <w:t xml:space="preserve">ofertas </w:t>
      </w:r>
      <w:r w:rsidR="007665DF" w:rsidRPr="00226369">
        <w:rPr>
          <w:rFonts w:ascii="Arial" w:hAnsi="Arial" w:cs="Arial"/>
          <w:sz w:val="20"/>
          <w:szCs w:val="20"/>
        </w:rPr>
        <w:t>subsequentes</w:t>
      </w:r>
      <w:r w:rsidRPr="00226369">
        <w:rPr>
          <w:rFonts w:ascii="Arial" w:hAnsi="Arial" w:cs="Arial"/>
          <w:sz w:val="20"/>
          <w:szCs w:val="20"/>
        </w:rPr>
        <w:t xml:space="preserve"> na ordem de classificação, </w:t>
      </w:r>
      <w:r w:rsidR="007665DF"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7665DF"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7665DF">
        <w:rPr>
          <w:rFonts w:ascii="Arial" w:hAnsi="Arial" w:cs="Arial"/>
          <w:color w:val="000000"/>
          <w:sz w:val="20"/>
          <w:szCs w:val="20"/>
        </w:rPr>
        <w:t xml:space="preserve">seja, </w:t>
      </w:r>
      <w:r w:rsidR="007665DF"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r w:rsidR="007665DF"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r w:rsidRPr="00173487">
        <w:rPr>
          <w:rFonts w:ascii="Arial" w:hAnsi="Arial" w:cs="Arial"/>
          <w:sz w:val="20"/>
          <w:szCs w:val="20"/>
        </w:rPr>
        <w:t>correção</w:t>
      </w:r>
      <w:r w:rsidR="00173487" w:rsidRPr="00173487">
        <w:rPr>
          <w:rFonts w:ascii="Arial" w:hAnsi="Arial" w:cs="Arial"/>
          <w:sz w:val="20"/>
          <w:szCs w:val="20"/>
        </w:rPr>
        <w:t xml:space="preserve"> do vício.</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lastRenderedPageBreak/>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Caberá a Pregoeiro adjudicar a licitante vencedora em primeiro lugar, havendo posterior Homologação pelo Sr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ainda ao Sr. Prefeito </w:t>
      </w:r>
      <w:r w:rsidR="007665DF" w:rsidRPr="00173487">
        <w:rPr>
          <w:rFonts w:ascii="Arial" w:hAnsi="Arial" w:cs="Arial"/>
          <w:sz w:val="20"/>
          <w:szCs w:val="20"/>
        </w:rPr>
        <w:t>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licitante adjudicada convocada, após Homologação do processo licitatório pelo Sr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7728"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lastRenderedPageBreak/>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lastRenderedPageBreak/>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r w:rsidR="007665DF">
        <w:rPr>
          <w:rFonts w:ascii="Arial" w:hAnsi="Arial" w:cs="Arial"/>
          <w:color w:val="000000"/>
          <w:sz w:val="20"/>
          <w:szCs w:val="20"/>
        </w:rPr>
        <w:t>subitens</w:t>
      </w:r>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w:t>
      </w:r>
      <w:r w:rsidR="00432A9F">
        <w:rPr>
          <w:rFonts w:ascii="Arial" w:hAnsi="Arial" w:cs="Arial"/>
          <w:color w:val="000000"/>
          <w:sz w:val="20"/>
          <w:szCs w:val="20"/>
        </w:rPr>
        <w:t xml:space="preserve"> a efetiva entrega do objeto desta licitação;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w:t>
      </w:r>
      <w:r w:rsidR="00432A9F">
        <w:rPr>
          <w:rFonts w:ascii="Arial" w:hAnsi="Arial" w:cs="Arial"/>
          <w:color w:val="000000"/>
          <w:sz w:val="20"/>
          <w:szCs w:val="20"/>
        </w:rPr>
        <w:t xml:space="preserve">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c) Prestar à Contratada toda e qualquer informação, por esta solicitada, necessária à perfeita execução do Contrato;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w:t>
      </w:r>
      <w:r w:rsidR="00432A9F">
        <w:rPr>
          <w:rFonts w:ascii="Arial" w:hAnsi="Arial" w:cs="Arial"/>
          <w:color w:val="000000"/>
          <w:sz w:val="20"/>
          <w:szCs w:val="20"/>
        </w:rPr>
        <w:t xml:space="preserve"> o pagamento à Contratada no prazo avençado, após a entrega da Nota Fiscal no setor competente;</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w:t>
      </w:r>
      <w:r w:rsidR="00432A9F">
        <w:rPr>
          <w:rFonts w:ascii="Arial" w:hAnsi="Arial" w:cs="Arial"/>
          <w:color w:val="000000"/>
          <w:sz w:val="20"/>
          <w:szCs w:val="20"/>
        </w:rPr>
        <w:t>,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w:t>
      </w:r>
      <w:r w:rsidR="00432A9F">
        <w:rPr>
          <w:rFonts w:ascii="Arial" w:hAnsi="Arial" w:cs="Arial"/>
          <w:color w:val="000000"/>
          <w:sz w:val="20"/>
          <w:szCs w:val="20"/>
        </w:rPr>
        <w:t xml:space="preserve"> o objeto desta licitação nas especificações contidas neste edital;</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w:t>
      </w:r>
      <w:r w:rsidR="00432A9F">
        <w:rPr>
          <w:rFonts w:ascii="Arial" w:hAnsi="Arial" w:cs="Arial"/>
          <w:color w:val="000000"/>
          <w:sz w:val="20"/>
          <w:szCs w:val="20"/>
        </w:rPr>
        <w:t>, durante a execução do contrato, as mesmas condições de habilitação;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w:t>
      </w:r>
      <w:r w:rsidR="00432A9F">
        <w:rPr>
          <w:rFonts w:ascii="Arial" w:hAnsi="Arial" w:cs="Arial"/>
          <w:color w:val="000000"/>
          <w:sz w:val="20"/>
          <w:szCs w:val="20"/>
        </w:rPr>
        <w:t xml:space="preserve">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r w:rsidR="007665DF">
        <w:rPr>
          <w:rFonts w:ascii="Arial" w:hAnsi="Arial" w:cs="Arial"/>
          <w:color w:val="000000"/>
          <w:sz w:val="20"/>
          <w:szCs w:val="20"/>
        </w:rPr>
        <w:t>abertura; alterado</w:t>
      </w:r>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lastRenderedPageBreak/>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7665DF">
        <w:rPr>
          <w:sz w:val="20"/>
          <w:szCs w:val="20"/>
        </w:rPr>
        <w:t>22 de fevereiro de 2019.</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07579A"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lastRenderedPageBreak/>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7665DF">
        <w:rPr>
          <w:rFonts w:ascii="Arial" w:hAnsi="Arial" w:cs="Arial"/>
          <w:b/>
          <w:bCs/>
          <w:sz w:val="20"/>
          <w:szCs w:val="20"/>
        </w:rPr>
        <w:t>004/FMS/2019</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PREGÃO PRESENCIAL Nº</w:t>
      </w:r>
      <w:r w:rsidR="007665DF">
        <w:rPr>
          <w:rFonts w:ascii="Arial" w:hAnsi="Arial" w:cs="Arial"/>
          <w:b/>
          <w:sz w:val="20"/>
          <w:szCs w:val="20"/>
        </w:rPr>
        <w:t>004/FMS/2019</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B66274" w:rsidRDefault="00B66274" w:rsidP="00B66274">
      <w:pPr>
        <w:autoSpaceDE w:val="0"/>
        <w:autoSpaceDN w:val="0"/>
        <w:adjustRightInd w:val="0"/>
        <w:jc w:val="both"/>
        <w:rPr>
          <w:rFonts w:ascii="Arial" w:hAnsi="Arial" w:cs="Arial"/>
          <w:b/>
          <w:bCs/>
          <w:sz w:val="20"/>
          <w:szCs w:val="20"/>
        </w:rPr>
      </w:pPr>
      <w:r w:rsidRPr="00F80BF3">
        <w:rPr>
          <w:rFonts w:ascii="Arial" w:hAnsi="Arial" w:cs="Arial"/>
          <w:b/>
          <w:bCs/>
          <w:sz w:val="20"/>
          <w:szCs w:val="20"/>
        </w:rPr>
        <w:t xml:space="preserve">OBS.: TODOS OS </w:t>
      </w:r>
      <w:r w:rsidR="000D460B">
        <w:rPr>
          <w:rFonts w:ascii="Arial" w:hAnsi="Arial" w:cs="Arial"/>
          <w:b/>
          <w:bCs/>
          <w:sz w:val="20"/>
          <w:szCs w:val="20"/>
        </w:rPr>
        <w:t>MATERIAIS</w:t>
      </w:r>
      <w:r w:rsidRPr="00F80BF3">
        <w:rPr>
          <w:rFonts w:ascii="Arial" w:hAnsi="Arial" w:cs="Arial"/>
          <w:b/>
          <w:bCs/>
          <w:sz w:val="20"/>
          <w:szCs w:val="20"/>
        </w:rPr>
        <w:t xml:space="preserve"> DEVERÃO CONTER REGISTRO NO MINISTÉRIO DA SAÚDE.</w:t>
      </w:r>
      <w:r w:rsidR="004B1D46" w:rsidRPr="00F80BF3">
        <w:rPr>
          <w:rFonts w:ascii="Arial" w:hAnsi="Arial" w:cs="Arial"/>
          <w:b/>
          <w:bCs/>
          <w:sz w:val="20"/>
          <w:szCs w:val="20"/>
        </w:rPr>
        <w:t xml:space="preserve"> </w:t>
      </w:r>
    </w:p>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de </w:t>
      </w:r>
      <w:r w:rsidR="00C23084">
        <w:rPr>
          <w:rFonts w:ascii="Arial" w:hAnsi="Arial" w:cs="Arial"/>
          <w:sz w:val="20"/>
          <w:szCs w:val="20"/>
        </w:rPr>
        <w:t>2019</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5"/>
          <w:footerReference w:type="even" r:id="rId16"/>
          <w:footerReference w:type="default" r:id="rId17"/>
          <w:type w:val="continuous"/>
          <w:pgSz w:w="11907" w:h="16840" w:code="9"/>
          <w:pgMar w:top="1134" w:right="567"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432A9F" w:rsidRDefault="00432A9F" w:rsidP="00C50C6A">
      <w:pPr>
        <w:ind w:right="-81"/>
        <w:jc w:val="both"/>
      </w:pPr>
    </w:p>
    <w:p w:rsidR="00C50C6A" w:rsidRDefault="00C50C6A" w:rsidP="00C50C6A">
      <w:pPr>
        <w:ind w:right="-81"/>
        <w:jc w:val="both"/>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lastRenderedPageBreak/>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BC4049">
      <w:pPr>
        <w:ind w:right="-81"/>
        <w:jc w:val="center"/>
        <w:rPr>
          <w:rFonts w:ascii="Arial" w:hAnsi="Arial" w:cs="Arial"/>
          <w:b/>
          <w:sz w:val="20"/>
        </w:rPr>
      </w:pPr>
      <w:r w:rsidRPr="00C50C6A">
        <w:rPr>
          <w:rFonts w:ascii="Arial" w:hAnsi="Arial" w:cs="Arial"/>
          <w:b/>
          <w:sz w:val="20"/>
        </w:rPr>
        <w:t xml:space="preserve">PREGÃO PRESENCIAL Nº. </w:t>
      </w:r>
      <w:r w:rsidR="00C23084">
        <w:rPr>
          <w:rFonts w:ascii="Arial" w:hAnsi="Arial" w:cs="Arial"/>
          <w:b/>
          <w:sz w:val="20"/>
        </w:rPr>
        <w:t>004/2019</w:t>
      </w:r>
    </w:p>
    <w:p w:rsidR="00BC4049" w:rsidRDefault="00C23084" w:rsidP="00C23084">
      <w:pPr>
        <w:tabs>
          <w:tab w:val="left" w:pos="8405"/>
        </w:tabs>
        <w:ind w:right="-81"/>
        <w:rPr>
          <w:rFonts w:ascii="Arial" w:hAnsi="Arial" w:cs="Arial"/>
          <w:b/>
          <w:sz w:val="20"/>
        </w:rPr>
      </w:pPr>
      <w:r>
        <w:rPr>
          <w:rFonts w:ascii="Arial" w:hAnsi="Arial" w:cs="Arial"/>
          <w:b/>
          <w:sz w:val="20"/>
        </w:rPr>
        <w:tab/>
      </w: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w:t>
      </w:r>
      <w:r w:rsidR="00C23084">
        <w:rPr>
          <w:rFonts w:ascii="Arial" w:hAnsi="Arial" w:cs="Arial"/>
          <w:b/>
          <w:sz w:val="20"/>
        </w:rPr>
        <w:t>2019</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w:t>
      </w:r>
      <w:r w:rsidR="00C23084">
        <w:rPr>
          <w:rFonts w:ascii="Arial" w:hAnsi="Arial" w:cs="Arial"/>
          <w:b/>
          <w:sz w:val="20"/>
        </w:rPr>
        <w:t>2019</w:t>
      </w:r>
      <w:r w:rsidRPr="00BC4049">
        <w:rPr>
          <w:rFonts w:ascii="Arial" w:hAnsi="Arial" w:cs="Arial"/>
          <w:b/>
          <w:sz w:val="20"/>
        </w:rPr>
        <w:t xml:space="preserve">, compareceram, de um lado a(o) FUNDO MUNICIPAL DE SAUDE DE SANGAO                , Estado de SANTA CATARINA, pessoa jurídica de direito público, inscrita no CNPJ sob o nº. 11.732.185/0001-45, com sede administrativa localizada na Rod SC 443 Km 02 , bairro Centro , CEP nº. 88717-000, nesta cidade de Sangão/SC, representado </w:t>
      </w:r>
      <w:r w:rsidR="007665DF" w:rsidRPr="00BC4049">
        <w:rPr>
          <w:rFonts w:ascii="Arial" w:hAnsi="Arial" w:cs="Arial"/>
          <w:b/>
          <w:sz w:val="20"/>
        </w:rPr>
        <w:t>pelo (</w:t>
      </w:r>
      <w:r w:rsidRPr="00BC4049">
        <w:rPr>
          <w:rFonts w:ascii="Arial" w:hAnsi="Arial" w:cs="Arial"/>
          <w:b/>
          <w:sz w:val="20"/>
        </w:rPr>
        <w:t xml:space="preserve">a) PREFEITO </w:t>
      </w:r>
      <w:r w:rsidR="00C23084" w:rsidRPr="00BC4049">
        <w:rPr>
          <w:rFonts w:ascii="Arial" w:hAnsi="Arial" w:cs="Arial"/>
          <w:b/>
          <w:sz w:val="20"/>
        </w:rPr>
        <w:t>MUNICIPAL,</w:t>
      </w:r>
      <w:r w:rsidRPr="00BC4049">
        <w:rPr>
          <w:rFonts w:ascii="Arial" w:hAnsi="Arial" w:cs="Arial"/>
          <w:b/>
          <w:sz w:val="20"/>
        </w:rPr>
        <w:t xml:space="preserve"> o </w:t>
      </w:r>
      <w:r w:rsidR="00C23084" w:rsidRPr="00BC4049">
        <w:rPr>
          <w:rFonts w:ascii="Arial" w:hAnsi="Arial" w:cs="Arial"/>
          <w:b/>
          <w:sz w:val="20"/>
        </w:rPr>
        <w:t>Sr (</w:t>
      </w:r>
      <w:r w:rsidRPr="00BC4049">
        <w:rPr>
          <w:rFonts w:ascii="Arial" w:hAnsi="Arial" w:cs="Arial"/>
          <w:b/>
          <w:sz w:val="20"/>
        </w:rPr>
        <w:t>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Pr="00BC4049">
        <w:rPr>
          <w:rFonts w:ascii="Arial" w:hAnsi="Arial" w:cs="Arial"/>
          <w:b/>
          <w:sz w:val="20"/>
        </w:rPr>
        <w:t xml:space="preserve">/2017, Processo Licitatório nº. </w:t>
      </w:r>
      <w:r>
        <w:rPr>
          <w:rFonts w:ascii="Arial" w:hAnsi="Arial" w:cs="Arial"/>
          <w:b/>
          <w:sz w:val="20"/>
        </w:rPr>
        <w:t>004/</w:t>
      </w:r>
      <w:r w:rsidR="00C23084">
        <w:rPr>
          <w:rFonts w:ascii="Arial" w:hAnsi="Arial" w:cs="Arial"/>
          <w:b/>
          <w:sz w:val="20"/>
        </w:rPr>
        <w:t>2019</w:t>
      </w:r>
      <w:r w:rsidRPr="00BC4049">
        <w:rPr>
          <w:rFonts w:ascii="Arial" w:hAnsi="Arial" w:cs="Arial"/>
          <w:b/>
          <w:sz w:val="20"/>
        </w:rPr>
        <w:t>, que selecionou a proposta mais vantajosa para a Administração Públic</w:t>
      </w:r>
      <w:r>
        <w:rPr>
          <w:rFonts w:ascii="Arial" w:hAnsi="Arial" w:cs="Arial"/>
          <w:b/>
          <w:sz w:val="20"/>
        </w:rPr>
        <w:t xml:space="preserve">a, objetivando </w:t>
      </w:r>
      <w:r w:rsidR="00C23084">
        <w:rPr>
          <w:rFonts w:ascii="Arial" w:hAnsi="Arial" w:cs="Arial"/>
          <w:b/>
          <w:sz w:val="20"/>
        </w:rPr>
        <w:t>o (</w:t>
      </w:r>
      <w:r>
        <w:rPr>
          <w:rFonts w:ascii="Arial" w:hAnsi="Arial" w:cs="Arial"/>
          <w:b/>
          <w:sz w:val="20"/>
        </w:rPr>
        <w:t xml:space="preserve">a) </w:t>
      </w:r>
      <w:r w:rsidR="00C23084">
        <w:rPr>
          <w:rFonts w:ascii="Arial" w:hAnsi="Arial" w:cs="Arial"/>
          <w:b/>
          <w:sz w:val="20"/>
        </w:rPr>
        <w:t>Aquisição de</w:t>
      </w:r>
      <w:r w:rsidRPr="00EA5466">
        <w:rPr>
          <w:rFonts w:ascii="Arial" w:hAnsi="Arial" w:cs="Arial"/>
          <w:b/>
          <w:sz w:val="20"/>
          <w:szCs w:val="20"/>
        </w:rPr>
        <w:t xml:space="preserve"> “</w:t>
      </w:r>
      <w:r w:rsidRPr="00EA5466">
        <w:rPr>
          <w:rFonts w:ascii="Arial" w:hAnsi="Arial" w:cs="Arial"/>
          <w:b/>
          <w:bCs/>
          <w:sz w:val="20"/>
          <w:szCs w:val="20"/>
        </w:rPr>
        <w:t xml:space="preserve">Material de Consumo </w:t>
      </w:r>
      <w:r>
        <w:rPr>
          <w:rFonts w:ascii="Arial" w:hAnsi="Arial" w:cs="Arial"/>
          <w:b/>
          <w:bCs/>
          <w:sz w:val="20"/>
          <w:szCs w:val="20"/>
        </w:rPr>
        <w:t>Médico Hospitalar</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w:t>
      </w:r>
      <w:r w:rsidR="00C23084" w:rsidRPr="00EA5466">
        <w:rPr>
          <w:rFonts w:ascii="Arial" w:hAnsi="Arial" w:cs="Arial"/>
          <w:b/>
          <w:sz w:val="20"/>
          <w:szCs w:val="20"/>
        </w:rPr>
        <w:t xml:space="preserve">SC, </w:t>
      </w:r>
      <w:r w:rsidR="00C23084">
        <w:rPr>
          <w:rFonts w:ascii="Arial" w:hAnsi="Arial" w:cs="Arial"/>
          <w:b/>
          <w:sz w:val="20"/>
        </w:rPr>
        <w:t>em</w:t>
      </w:r>
      <w:r w:rsidRPr="00BC4049">
        <w:rPr>
          <w:rFonts w:ascii="Arial" w:hAnsi="Arial" w:cs="Arial"/>
          <w:b/>
          <w:sz w:val="20"/>
        </w:rPr>
        <w:t xml:space="preserve">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Aquisição de </w:t>
      </w:r>
      <w:r w:rsidRPr="00EA5466">
        <w:rPr>
          <w:rFonts w:ascii="Arial" w:hAnsi="Arial" w:cs="Arial"/>
          <w:b/>
          <w:bCs/>
          <w:sz w:val="20"/>
          <w:szCs w:val="20"/>
        </w:rPr>
        <w:t xml:space="preserve">Material de Consumo </w:t>
      </w:r>
      <w:r>
        <w:rPr>
          <w:rFonts w:ascii="Arial" w:hAnsi="Arial" w:cs="Arial"/>
          <w:b/>
          <w:bCs/>
          <w:sz w:val="20"/>
          <w:szCs w:val="20"/>
        </w:rPr>
        <w:t>Médico Hospitalar</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sidR="00C23084">
        <w:rPr>
          <w:rFonts w:ascii="Arial" w:hAnsi="Arial" w:cs="Arial"/>
          <w:b/>
          <w:bCs/>
          <w:sz w:val="20"/>
          <w:szCs w:val="20"/>
        </w:rPr>
        <w:t>2019</w:t>
      </w:r>
      <w:r>
        <w:rPr>
          <w:rFonts w:ascii="Arial" w:hAnsi="Arial" w:cs="Arial"/>
          <w:b/>
          <w:bCs/>
          <w:sz w:val="20"/>
          <w:szCs w:val="20"/>
        </w:rPr>
        <w:t>.</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w:t>
      </w:r>
      <w:r w:rsidR="00C23084" w:rsidRPr="00BC4049">
        <w:rPr>
          <w:rFonts w:ascii="Arial" w:hAnsi="Arial" w:cs="Arial"/>
          <w:b/>
          <w:sz w:val="20"/>
        </w:rPr>
        <w:t>no ato convocatório</w:t>
      </w:r>
      <w:r w:rsidRPr="00BC4049">
        <w:rPr>
          <w:rFonts w:ascii="Arial" w:hAnsi="Arial" w:cs="Arial"/>
          <w:b/>
          <w:sz w:val="20"/>
        </w:rPr>
        <w:t xml:space="preserve">,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w:t>
      </w:r>
      <w:r>
        <w:rPr>
          <w:rFonts w:ascii="Arial" w:hAnsi="Arial" w:cs="Arial"/>
          <w:b/>
          <w:sz w:val="20"/>
        </w:rPr>
        <w:lastRenderedPageBreak/>
        <w:t xml:space="preserve">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43"/>
        <w:gridCol w:w="222"/>
        <w:gridCol w:w="3028"/>
        <w:gridCol w:w="222"/>
        <w:gridCol w:w="459"/>
        <w:gridCol w:w="222"/>
        <w:gridCol w:w="874"/>
        <w:gridCol w:w="222"/>
        <w:gridCol w:w="999"/>
        <w:gridCol w:w="237"/>
        <w:gridCol w:w="891"/>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r>
              <w:rPr>
                <w:rFonts w:ascii="Arial" w:hAnsi="Arial" w:cs="Arial"/>
                <w:b/>
                <w:bCs/>
                <w:sz w:val="20"/>
              </w:rPr>
              <w:t>xxxxxxxxxxxxxxxxx</w:t>
            </w:r>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Unid</w:t>
            </w:r>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2.4.2. Não havendo êxito nas negociações, de que trata este subitem e o anterior estes serão formalmente desonerados do compromisso de fornecimento em relação ao item ou lote pelo órgão gerenciador, com </w:t>
      </w:r>
      <w:r w:rsidR="00C23084" w:rsidRPr="00D96E87">
        <w:rPr>
          <w:rFonts w:ascii="Arial" w:hAnsi="Arial" w:cs="Arial"/>
          <w:b/>
          <w:sz w:val="20"/>
        </w:rPr>
        <w:t>consequente</w:t>
      </w:r>
      <w:r w:rsidRPr="00D96E87">
        <w:rPr>
          <w:rFonts w:ascii="Arial" w:hAnsi="Arial" w:cs="Arial"/>
          <w:b/>
          <w:sz w:val="20"/>
        </w:rPr>
        <w:t xml:space="preserv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lastRenderedPageBreak/>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5.1.3.. Optar pela contratação ou não dos bens ou serviços decorrentes do Sistema Registro de Preços ou das quantidades estimadas, ficando-lhe facultada a utilização de outros meios para </w:t>
      </w:r>
      <w:r w:rsidRPr="00D96E87">
        <w:rPr>
          <w:rFonts w:ascii="Arial" w:hAnsi="Arial" w:cs="Arial"/>
          <w:b/>
          <w:sz w:val="20"/>
        </w:rPr>
        <w:lastRenderedPageBreak/>
        <w:t>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5.3.1. Entregar os produtos nas condições estabelecidas no edital e seus anexos e atender todos os pedidos de contratação durante o período de duração do registro de Preços, </w:t>
      </w:r>
      <w:r w:rsidR="00C23084" w:rsidRPr="00D96E87">
        <w:rPr>
          <w:rFonts w:ascii="Arial" w:hAnsi="Arial" w:cs="Arial"/>
          <w:b/>
          <w:sz w:val="20"/>
        </w:rPr>
        <w:t>independentemente</w:t>
      </w:r>
      <w:r w:rsidRPr="00D96E87">
        <w:rPr>
          <w:rFonts w:ascii="Arial" w:hAnsi="Arial" w:cs="Arial"/>
          <w:b/>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desta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w:t>
      </w:r>
      <w:r w:rsidR="00C23084" w:rsidRPr="00D96E87">
        <w:rPr>
          <w:rFonts w:ascii="Arial" w:hAnsi="Arial" w:cs="Arial"/>
          <w:b/>
          <w:sz w:val="20"/>
        </w:rPr>
        <w:t>nos termos</w:t>
      </w:r>
      <w:r w:rsidRPr="00D96E87">
        <w:rPr>
          <w:rFonts w:ascii="Arial" w:hAnsi="Arial" w:cs="Arial"/>
          <w:b/>
          <w:sz w:val="20"/>
        </w:rPr>
        <w:t xml:space="preserve">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"6.2. Nas hipóteses previstas no subitem </w:t>
      </w:r>
      <w:r w:rsidR="00C23084" w:rsidRPr="00D96E87">
        <w:rPr>
          <w:rFonts w:ascii="Arial" w:hAnsi="Arial" w:cs="Arial"/>
          <w:b/>
          <w:sz w:val="20"/>
        </w:rPr>
        <w:t>6.1.</w:t>
      </w:r>
      <w:r w:rsidRPr="00D96E87">
        <w:rPr>
          <w:rFonts w:ascii="Arial" w:hAnsi="Arial" w:cs="Arial"/>
          <w:b/>
          <w:sz w:val="20"/>
        </w:rPr>
        <w:t xml:space="preserve">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 A(s) fornecedora(s) classificada(s) ficará(ão)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7.10. Todas as despesas relativas à entrega e transporte dos materiais, bem como todos os impostos, taxas e demais despesas decorrente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"11.1.2. por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 por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falta leves;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t>13.1. Fica eleito o Foro da Comarca de  Sangão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XXXXXXXXXXXX</w:t>
      </w:r>
      <w:r w:rsidRPr="00D96E87">
        <w:rPr>
          <w:rFonts w:ascii="Arial" w:hAnsi="Arial" w:cs="Arial"/>
          <w:b/>
          <w:sz w:val="20"/>
        </w:rPr>
        <w:t xml:space="preserve">  de </w:t>
      </w:r>
      <w:r w:rsidR="00BE65BD">
        <w:rPr>
          <w:rFonts w:ascii="Arial" w:hAnsi="Arial" w:cs="Arial"/>
          <w:b/>
          <w:sz w:val="20"/>
        </w:rPr>
        <w:t>XXXXXXXXXXXXXXXXX</w:t>
      </w:r>
      <w:r w:rsidRPr="00D96E87">
        <w:rPr>
          <w:rFonts w:ascii="Arial" w:hAnsi="Arial" w:cs="Arial"/>
          <w:b/>
          <w:sz w:val="20"/>
        </w:rPr>
        <w:t xml:space="preserve">de </w:t>
      </w:r>
      <w:r w:rsidR="00C23084">
        <w:rPr>
          <w:rFonts w:ascii="Arial" w:hAnsi="Arial" w:cs="Arial"/>
          <w:b/>
          <w:sz w:val="20"/>
        </w:rPr>
        <w:t>2019</w:t>
      </w: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D96E87" w:rsidP="00BE65BD">
      <w:pPr>
        <w:ind w:right="-81"/>
        <w:jc w:val="center"/>
        <w:rPr>
          <w:rFonts w:ascii="Arial" w:hAnsi="Arial" w:cs="Arial"/>
          <w:b/>
          <w:sz w:val="20"/>
        </w:rPr>
      </w:pPr>
      <w:r w:rsidRPr="00D96E87">
        <w:rPr>
          <w:rFonts w:ascii="Arial" w:hAnsi="Arial" w:cs="Arial"/>
          <w:b/>
          <w:sz w:val="20"/>
        </w:rPr>
        <w:t>DALMIR CARARA CANDIDO</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lastRenderedPageBreak/>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Nº</w:t>
      </w:r>
      <w:r w:rsidR="007665DF">
        <w:rPr>
          <w:sz w:val="20"/>
        </w:rPr>
        <w:t>004/FMS/2019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7665DF">
        <w:rPr>
          <w:rFonts w:ascii="Arial" w:hAnsi="Arial" w:cs="Arial"/>
          <w:sz w:val="20"/>
          <w:szCs w:val="20"/>
        </w:rPr>
        <w:t>004/FMS/2019</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C23084">
        <w:rPr>
          <w:rFonts w:ascii="Arial" w:hAnsi="Arial" w:cs="Arial"/>
          <w:sz w:val="20"/>
          <w:szCs w:val="20"/>
        </w:rPr>
        <w:t>2019</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DECLARAÇÃO DE ATENDIMENTO AOS REQUISITOS DE HABILITAÇÃO – ANEXO IV AO EDITAL DE PREGÃO PRESENCIAL Nº</w:t>
      </w:r>
      <w:r w:rsidR="007665DF">
        <w:rPr>
          <w:rFonts w:ascii="Arial" w:hAnsi="Arial" w:cs="Arial"/>
          <w:b/>
          <w:sz w:val="20"/>
          <w:szCs w:val="20"/>
        </w:rPr>
        <w:t>004/FMS/2019</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7665DF">
        <w:rPr>
          <w:rFonts w:ascii="Arial" w:hAnsi="Arial" w:cs="Arial"/>
          <w:sz w:val="20"/>
          <w:szCs w:val="20"/>
        </w:rPr>
        <w:t>004/FMS/2019</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C23084">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7665DF">
        <w:rPr>
          <w:rFonts w:ascii="Arial" w:hAnsi="Arial" w:cs="Arial"/>
          <w:b/>
          <w:sz w:val="20"/>
          <w:szCs w:val="20"/>
        </w:rPr>
        <w:t>004/FMS/2019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7665DF">
        <w:rPr>
          <w:rFonts w:ascii="Arial" w:hAnsi="Arial" w:cs="Arial"/>
          <w:sz w:val="20"/>
          <w:szCs w:val="20"/>
        </w:rPr>
        <w:t>004/FMS/2019</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de </w:t>
      </w:r>
      <w:r w:rsidR="00C23084">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7665DF">
        <w:rPr>
          <w:rFonts w:ascii="Arial" w:hAnsi="Arial" w:cs="Arial"/>
          <w:b/>
          <w:sz w:val="20"/>
          <w:szCs w:val="20"/>
        </w:rPr>
        <w:t>004/FMS/2019</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7665DF">
        <w:rPr>
          <w:rFonts w:ascii="Arial" w:hAnsi="Arial" w:cs="Arial"/>
          <w:sz w:val="20"/>
          <w:szCs w:val="20"/>
        </w:rPr>
        <w:t>004/FMS/2019</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C23084">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7665DF">
        <w:rPr>
          <w:rFonts w:ascii="Arial" w:hAnsi="Arial" w:cs="Arial"/>
          <w:b/>
          <w:sz w:val="20"/>
          <w:szCs w:val="20"/>
        </w:rPr>
        <w:t>004/FMS/2019</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7665DF">
        <w:rPr>
          <w:rFonts w:ascii="Arial" w:hAnsi="Arial" w:cs="Arial"/>
          <w:sz w:val="20"/>
        </w:rPr>
        <w:t>004/FMS/2019</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C23084">
        <w:rPr>
          <w:rFonts w:ascii="Arial" w:hAnsi="Arial" w:cs="Arial"/>
          <w:sz w:val="20"/>
          <w:szCs w:val="20"/>
        </w:rPr>
        <w:t>2019</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AO EDITAL DE PREGÃO PRESENCIAL Nº</w:t>
      </w:r>
      <w:r w:rsidR="007665DF">
        <w:rPr>
          <w:sz w:val="20"/>
          <w:szCs w:val="20"/>
        </w:rPr>
        <w:t>004/FMS/2019</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7665DF">
        <w:rPr>
          <w:rFonts w:ascii="Arial" w:hAnsi="Arial" w:cs="Arial"/>
          <w:sz w:val="20"/>
          <w:szCs w:val="20"/>
        </w:rPr>
        <w:t>004/FMS/2019</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de </w:t>
      </w:r>
      <w:r w:rsidR="00C23084">
        <w:rPr>
          <w:rFonts w:ascii="Arial" w:hAnsi="Arial" w:cs="Arial"/>
          <w:sz w:val="20"/>
          <w:szCs w:val="20"/>
        </w:rPr>
        <w:t>2019</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xml:space="preserve">, pelas empresas que pretenderem se </w:t>
      </w:r>
      <w:r w:rsidRPr="00D602BD">
        <w:rPr>
          <w:rFonts w:ascii="Arial" w:hAnsi="Arial" w:cs="Arial"/>
          <w:sz w:val="20"/>
          <w:szCs w:val="20"/>
        </w:rPr>
        <w:lastRenderedPageBreak/>
        <w:t>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DF" w:rsidRDefault="007665DF">
      <w:r>
        <w:separator/>
      </w:r>
    </w:p>
  </w:endnote>
  <w:endnote w:type="continuationSeparator" w:id="0">
    <w:p w:rsidR="007665DF" w:rsidRDefault="0076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DF" w:rsidRDefault="007665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65DF" w:rsidRDefault="007665DF">
    <w:pPr>
      <w:pStyle w:val="Rodap"/>
      <w:ind w:right="360"/>
    </w:pPr>
  </w:p>
  <w:p w:rsidR="007665DF" w:rsidRDefault="007665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DF" w:rsidRDefault="007665DF" w:rsidP="00FF024E">
    <w:pPr>
      <w:pStyle w:val="Rodap"/>
      <w:jc w:val="center"/>
      <w:rPr>
        <w:rFonts w:ascii="Arial" w:hAnsi="Arial" w:cs="Arial"/>
        <w:sz w:val="20"/>
      </w:rPr>
    </w:pPr>
    <w:r>
      <w:rPr>
        <w:rFonts w:ascii="Arial" w:hAnsi="Arial" w:cs="Arial"/>
        <w:sz w:val="20"/>
      </w:rPr>
      <w:t>Estado de Santa Catarina</w:t>
    </w:r>
  </w:p>
  <w:p w:rsidR="007665DF" w:rsidRDefault="007665DF" w:rsidP="00FF024E">
    <w:pPr>
      <w:pStyle w:val="Rodap"/>
      <w:jc w:val="center"/>
      <w:rPr>
        <w:rFonts w:ascii="Arial" w:hAnsi="Arial" w:cs="Arial"/>
        <w:sz w:val="20"/>
      </w:rPr>
    </w:pPr>
    <w:r>
      <w:rPr>
        <w:rFonts w:ascii="Arial" w:hAnsi="Arial" w:cs="Arial"/>
        <w:sz w:val="20"/>
      </w:rPr>
      <w:t>Município de Sangão</w:t>
    </w:r>
  </w:p>
  <w:p w:rsidR="007665DF" w:rsidRDefault="007665DF"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7665DF" w:rsidRDefault="007665DF" w:rsidP="00FF024E">
    <w:pPr>
      <w:pStyle w:val="Rodap"/>
      <w:jc w:val="center"/>
      <w:rPr>
        <w:rFonts w:ascii="Arial" w:hAnsi="Arial" w:cs="Arial"/>
        <w:sz w:val="20"/>
      </w:rPr>
    </w:pPr>
    <w:r>
      <w:rPr>
        <w:rFonts w:ascii="Arial" w:hAnsi="Arial" w:cs="Arial"/>
        <w:sz w:val="20"/>
      </w:rPr>
      <w:t>Site: www.sangao.sc.gov.br</w:t>
    </w:r>
  </w:p>
  <w:p w:rsidR="007665DF" w:rsidRDefault="007665DF">
    <w:pPr>
      <w:pStyle w:val="Rodap"/>
      <w:ind w:right="360"/>
    </w:pPr>
  </w:p>
  <w:p w:rsidR="007665DF" w:rsidRDefault="007665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84" w:rsidRDefault="00C2308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DF" w:rsidRDefault="007665DF"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7665DF" w:rsidRDefault="007665DF" w:rsidP="006A71EF">
    <w:pPr>
      <w:pStyle w:val="PADRAO"/>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DF" w:rsidRPr="00930002" w:rsidRDefault="007665DF" w:rsidP="006A71EF">
    <w:pPr>
      <w:pStyle w:val="PADRAO"/>
      <w:jc w:val="center"/>
      <w:rPr>
        <w:rFonts w:ascii="Arial" w:hAnsi="Arial" w:cs="Arial"/>
        <w:sz w:val="20"/>
      </w:rPr>
    </w:pPr>
    <w:r w:rsidRPr="00930002">
      <w:rPr>
        <w:rFonts w:ascii="Arial" w:hAnsi="Arial" w:cs="Arial"/>
        <w:sz w:val="20"/>
      </w:rPr>
      <w:t>Estado de Santa Catarina</w:t>
    </w:r>
  </w:p>
  <w:p w:rsidR="007665DF" w:rsidRPr="00930002" w:rsidRDefault="007665DF"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7665DF" w:rsidRPr="00930002" w:rsidRDefault="007665DF"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7665DF" w:rsidRPr="00FD3446" w:rsidRDefault="007665DF"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DF" w:rsidRDefault="007665DF">
      <w:r>
        <w:separator/>
      </w:r>
    </w:p>
  </w:footnote>
  <w:footnote w:type="continuationSeparator" w:id="0">
    <w:p w:rsidR="007665DF" w:rsidRDefault="0076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84" w:rsidRDefault="00C230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665DF">
      <w:tc>
        <w:tcPr>
          <w:tcW w:w="2475" w:type="dxa"/>
        </w:tcPr>
        <w:p w:rsidR="007665DF" w:rsidRDefault="007665DF"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665DF" w:rsidRPr="000425A5" w:rsidRDefault="007665DF" w:rsidP="001C23C3">
          <w:pPr>
            <w:spacing w:line="240" w:lineRule="exact"/>
            <w:jc w:val="center"/>
            <w:rPr>
              <w:rFonts w:ascii="Arial" w:hAnsi="Arial" w:cs="Arial"/>
              <w:b/>
              <w:sz w:val="20"/>
            </w:rPr>
          </w:pPr>
          <w:r w:rsidRPr="000425A5">
            <w:rPr>
              <w:rFonts w:ascii="Arial" w:hAnsi="Arial" w:cs="Arial"/>
              <w:b/>
              <w:sz w:val="20"/>
            </w:rPr>
            <w:t>ESTADO DE SANTA CATARINA</w:t>
          </w:r>
        </w:p>
        <w:p w:rsidR="007665DF" w:rsidRPr="00BB717D" w:rsidRDefault="007665DF" w:rsidP="001C23C3">
          <w:pPr>
            <w:spacing w:line="240" w:lineRule="exact"/>
            <w:jc w:val="center"/>
            <w:rPr>
              <w:rFonts w:ascii="Arial" w:hAnsi="Arial" w:cs="Arial"/>
              <w:b/>
              <w:sz w:val="20"/>
            </w:rPr>
          </w:pPr>
          <w:r w:rsidRPr="00BB717D">
            <w:rPr>
              <w:rFonts w:ascii="Arial" w:hAnsi="Arial" w:cs="Arial"/>
              <w:b/>
              <w:sz w:val="20"/>
            </w:rPr>
            <w:t>MUNICÍPIO DE SANGÃO</w:t>
          </w:r>
        </w:p>
        <w:p w:rsidR="007665DF" w:rsidRPr="000425A5" w:rsidRDefault="007665DF"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7665DF" w:rsidRPr="000425A5" w:rsidRDefault="007665DF"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665DF" w:rsidRPr="000425A5" w:rsidRDefault="007665DF" w:rsidP="001C23C3">
          <w:pPr>
            <w:spacing w:line="160" w:lineRule="exact"/>
            <w:jc w:val="center"/>
            <w:rPr>
              <w:rFonts w:ascii="Arial" w:hAnsi="Arial" w:cs="Arial"/>
              <w:b/>
              <w:sz w:val="20"/>
            </w:rPr>
          </w:pPr>
        </w:p>
        <w:p w:rsidR="007665DF" w:rsidRPr="000425A5" w:rsidRDefault="007665DF" w:rsidP="001C23C3">
          <w:pPr>
            <w:spacing w:line="160" w:lineRule="exact"/>
            <w:jc w:val="center"/>
            <w:rPr>
              <w:rFonts w:ascii="Arial" w:hAnsi="Arial" w:cs="Arial"/>
              <w:b/>
              <w:sz w:val="20"/>
            </w:rPr>
          </w:pPr>
        </w:p>
        <w:p w:rsidR="007665DF" w:rsidRPr="00C400F7" w:rsidRDefault="007665DF" w:rsidP="001C23C3">
          <w:pPr>
            <w:spacing w:line="240" w:lineRule="exact"/>
            <w:jc w:val="center"/>
            <w:rPr>
              <w:rFonts w:ascii="Arial" w:hAnsi="Arial" w:cs="Arial"/>
              <w:b/>
              <w:sz w:val="20"/>
            </w:rPr>
          </w:pPr>
          <w:r w:rsidRPr="00C400F7">
            <w:rPr>
              <w:rFonts w:ascii="Arial" w:hAnsi="Arial" w:cs="Arial"/>
              <w:b/>
              <w:sz w:val="20"/>
            </w:rPr>
            <w:t>EDITAL DE LICITAÇÃO</w:t>
          </w:r>
        </w:p>
        <w:p w:rsidR="007665DF" w:rsidRDefault="007665DF"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004/FMS/2019</w:t>
          </w:r>
        </w:p>
        <w:p w:rsidR="007665DF" w:rsidRDefault="007665DF" w:rsidP="001C23C3">
          <w:pPr>
            <w:pStyle w:val="Rodap"/>
            <w:jc w:val="center"/>
            <w:rPr>
              <w:rFonts w:ascii="Arial" w:hAnsi="Arial" w:cs="Arial"/>
              <w:sz w:val="20"/>
            </w:rPr>
          </w:pPr>
          <w:r>
            <w:rPr>
              <w:rFonts w:ascii="Arial" w:hAnsi="Arial" w:cs="Arial"/>
              <w:b/>
              <w:sz w:val="20"/>
            </w:rPr>
            <w:t>REGISTRO DE PREÇO 003/FMS/2019</w:t>
          </w:r>
        </w:p>
      </w:tc>
    </w:tr>
  </w:tbl>
  <w:p w:rsidR="007665DF" w:rsidRDefault="007665DF" w:rsidP="001D3B94">
    <w:pPr>
      <w:pStyle w:val="Cabealho"/>
    </w:pPr>
  </w:p>
  <w:p w:rsidR="007665DF" w:rsidRDefault="007665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84" w:rsidRDefault="00C2308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665DF" w:rsidRPr="00516853" w:rsidTr="006A71EF">
      <w:tc>
        <w:tcPr>
          <w:tcW w:w="2475" w:type="dxa"/>
        </w:tcPr>
        <w:p w:rsidR="007665DF" w:rsidRPr="00516853" w:rsidRDefault="007665DF"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665DF" w:rsidRPr="000425A5" w:rsidRDefault="007665DF" w:rsidP="00996713">
          <w:pPr>
            <w:spacing w:line="240" w:lineRule="exact"/>
            <w:jc w:val="center"/>
            <w:rPr>
              <w:rFonts w:ascii="Arial" w:hAnsi="Arial" w:cs="Arial"/>
              <w:b/>
              <w:sz w:val="20"/>
            </w:rPr>
          </w:pPr>
          <w:r w:rsidRPr="000425A5">
            <w:rPr>
              <w:rFonts w:ascii="Arial" w:hAnsi="Arial" w:cs="Arial"/>
              <w:b/>
              <w:sz w:val="20"/>
            </w:rPr>
            <w:t>ESTADO DE SANTA CATARINA</w:t>
          </w:r>
        </w:p>
        <w:p w:rsidR="007665DF" w:rsidRPr="00BB717D" w:rsidRDefault="007665DF" w:rsidP="00996713">
          <w:pPr>
            <w:spacing w:line="240" w:lineRule="exact"/>
            <w:jc w:val="center"/>
            <w:rPr>
              <w:rFonts w:ascii="Arial" w:hAnsi="Arial" w:cs="Arial"/>
              <w:b/>
              <w:sz w:val="20"/>
            </w:rPr>
          </w:pPr>
          <w:r w:rsidRPr="00BB717D">
            <w:rPr>
              <w:rFonts w:ascii="Arial" w:hAnsi="Arial" w:cs="Arial"/>
              <w:b/>
              <w:sz w:val="20"/>
            </w:rPr>
            <w:t>MUNICÍPIO DE SANGÃO</w:t>
          </w:r>
        </w:p>
        <w:p w:rsidR="007665DF" w:rsidRPr="000425A5" w:rsidRDefault="007665DF"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7665DF" w:rsidRPr="000425A5" w:rsidRDefault="007665DF"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665DF" w:rsidRPr="000425A5" w:rsidRDefault="007665DF" w:rsidP="00996713">
          <w:pPr>
            <w:spacing w:line="160" w:lineRule="exact"/>
            <w:jc w:val="center"/>
            <w:rPr>
              <w:rFonts w:ascii="Arial" w:hAnsi="Arial" w:cs="Arial"/>
              <w:b/>
              <w:sz w:val="20"/>
            </w:rPr>
          </w:pPr>
        </w:p>
        <w:p w:rsidR="00C23084" w:rsidRPr="00C400F7" w:rsidRDefault="00C23084" w:rsidP="00C23084">
          <w:pPr>
            <w:spacing w:line="240" w:lineRule="exact"/>
            <w:jc w:val="center"/>
            <w:rPr>
              <w:rFonts w:ascii="Arial" w:hAnsi="Arial" w:cs="Arial"/>
              <w:b/>
              <w:sz w:val="20"/>
            </w:rPr>
          </w:pPr>
          <w:r w:rsidRPr="00C400F7">
            <w:rPr>
              <w:rFonts w:ascii="Arial" w:hAnsi="Arial" w:cs="Arial"/>
              <w:b/>
              <w:sz w:val="20"/>
            </w:rPr>
            <w:t>EDITAL DE LICITAÇÃO</w:t>
          </w:r>
        </w:p>
        <w:p w:rsidR="00C23084" w:rsidRDefault="00C23084" w:rsidP="00C23084">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004/FMS/2019</w:t>
          </w:r>
        </w:p>
        <w:p w:rsidR="007665DF" w:rsidRPr="00516853" w:rsidRDefault="00C23084" w:rsidP="00C23084">
          <w:pPr>
            <w:pStyle w:val="PADRAO"/>
            <w:jc w:val="center"/>
            <w:rPr>
              <w:rFonts w:ascii="Arial" w:hAnsi="Arial" w:cs="Arial"/>
              <w:sz w:val="20"/>
            </w:rPr>
          </w:pPr>
          <w:r>
            <w:rPr>
              <w:rFonts w:ascii="Arial" w:hAnsi="Arial" w:cs="Arial"/>
              <w:b/>
              <w:sz w:val="20"/>
            </w:rPr>
            <w:t>REGISTRO DE PREÇO 003/FMS/2019</w:t>
          </w:r>
        </w:p>
      </w:tc>
    </w:tr>
  </w:tbl>
  <w:p w:rsidR="007665DF" w:rsidRDefault="007665DF" w:rsidP="007665DF">
    <w:pPr>
      <w:pStyle w:val="xl22"/>
      <w:tabs>
        <w:tab w:val="left" w:pos="266"/>
      </w:tabs>
      <w:jc w:val="left"/>
    </w:pPr>
    <w: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9.4pt;height:9.4pt" coordsize="" o:spt="100" o:bullet="t" adj="0,,0" path="" stroked="f">
        <v:stroke joinstyle="miter"/>
        <v:imagedata r:id="rId1" o:title="image140"/>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15:restartNumberingAfterBreak="0">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23D9A"/>
    <w:rsid w:val="00025F4D"/>
    <w:rsid w:val="000359A2"/>
    <w:rsid w:val="0004035D"/>
    <w:rsid w:val="000416CE"/>
    <w:rsid w:val="000450E7"/>
    <w:rsid w:val="00051156"/>
    <w:rsid w:val="0007579A"/>
    <w:rsid w:val="00076DB1"/>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3610D"/>
    <w:rsid w:val="001467E0"/>
    <w:rsid w:val="0015199F"/>
    <w:rsid w:val="00160753"/>
    <w:rsid w:val="001706B9"/>
    <w:rsid w:val="00173487"/>
    <w:rsid w:val="00175F8F"/>
    <w:rsid w:val="00176CD4"/>
    <w:rsid w:val="00181A9A"/>
    <w:rsid w:val="0018669A"/>
    <w:rsid w:val="001958C7"/>
    <w:rsid w:val="001A159B"/>
    <w:rsid w:val="001C23C3"/>
    <w:rsid w:val="001C428D"/>
    <w:rsid w:val="001C6C98"/>
    <w:rsid w:val="001D3B94"/>
    <w:rsid w:val="001E10BD"/>
    <w:rsid w:val="001F7C47"/>
    <w:rsid w:val="00203662"/>
    <w:rsid w:val="002162A2"/>
    <w:rsid w:val="002211A1"/>
    <w:rsid w:val="00223D88"/>
    <w:rsid w:val="002358FF"/>
    <w:rsid w:val="002366B2"/>
    <w:rsid w:val="00241206"/>
    <w:rsid w:val="002468B4"/>
    <w:rsid w:val="002503E3"/>
    <w:rsid w:val="0025611D"/>
    <w:rsid w:val="0026750A"/>
    <w:rsid w:val="00267F65"/>
    <w:rsid w:val="00271325"/>
    <w:rsid w:val="00272CD3"/>
    <w:rsid w:val="0027441D"/>
    <w:rsid w:val="0027566F"/>
    <w:rsid w:val="00275B36"/>
    <w:rsid w:val="002841B0"/>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35CDB"/>
    <w:rsid w:val="00342589"/>
    <w:rsid w:val="0035123F"/>
    <w:rsid w:val="00353B86"/>
    <w:rsid w:val="00360C15"/>
    <w:rsid w:val="00361311"/>
    <w:rsid w:val="003709A4"/>
    <w:rsid w:val="00373AC6"/>
    <w:rsid w:val="00390F85"/>
    <w:rsid w:val="003965EE"/>
    <w:rsid w:val="003A77CA"/>
    <w:rsid w:val="003D186D"/>
    <w:rsid w:val="003E5198"/>
    <w:rsid w:val="003E6A62"/>
    <w:rsid w:val="003F1417"/>
    <w:rsid w:val="003F30FB"/>
    <w:rsid w:val="0040236F"/>
    <w:rsid w:val="0040687B"/>
    <w:rsid w:val="004132F8"/>
    <w:rsid w:val="00427AB0"/>
    <w:rsid w:val="00431433"/>
    <w:rsid w:val="00432A9F"/>
    <w:rsid w:val="00467250"/>
    <w:rsid w:val="00471D4D"/>
    <w:rsid w:val="00483733"/>
    <w:rsid w:val="004849EF"/>
    <w:rsid w:val="00486956"/>
    <w:rsid w:val="00495E6F"/>
    <w:rsid w:val="00497C2C"/>
    <w:rsid w:val="004B1D46"/>
    <w:rsid w:val="004B6439"/>
    <w:rsid w:val="004C3959"/>
    <w:rsid w:val="004D337E"/>
    <w:rsid w:val="004D4758"/>
    <w:rsid w:val="004E0A64"/>
    <w:rsid w:val="004E167C"/>
    <w:rsid w:val="004E6C8B"/>
    <w:rsid w:val="004E7855"/>
    <w:rsid w:val="004F3078"/>
    <w:rsid w:val="00515A96"/>
    <w:rsid w:val="00520687"/>
    <w:rsid w:val="005336B0"/>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F104C"/>
    <w:rsid w:val="005F6D83"/>
    <w:rsid w:val="00602387"/>
    <w:rsid w:val="0062031D"/>
    <w:rsid w:val="00664AB8"/>
    <w:rsid w:val="006727D9"/>
    <w:rsid w:val="00672FB0"/>
    <w:rsid w:val="00692F21"/>
    <w:rsid w:val="0069436D"/>
    <w:rsid w:val="006A0D9D"/>
    <w:rsid w:val="006A71EF"/>
    <w:rsid w:val="006B463A"/>
    <w:rsid w:val="006C74A8"/>
    <w:rsid w:val="006D1E48"/>
    <w:rsid w:val="006E1F27"/>
    <w:rsid w:val="006E2267"/>
    <w:rsid w:val="006F4159"/>
    <w:rsid w:val="00701E00"/>
    <w:rsid w:val="00711F25"/>
    <w:rsid w:val="00713CF4"/>
    <w:rsid w:val="0072167A"/>
    <w:rsid w:val="00724435"/>
    <w:rsid w:val="007351D2"/>
    <w:rsid w:val="0073796E"/>
    <w:rsid w:val="00754B38"/>
    <w:rsid w:val="007665DF"/>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12C9"/>
    <w:rsid w:val="00801FE8"/>
    <w:rsid w:val="00812FAB"/>
    <w:rsid w:val="00822DDE"/>
    <w:rsid w:val="00826A47"/>
    <w:rsid w:val="008332CF"/>
    <w:rsid w:val="00886CE3"/>
    <w:rsid w:val="008A315D"/>
    <w:rsid w:val="008A65F8"/>
    <w:rsid w:val="008B205A"/>
    <w:rsid w:val="008B40D5"/>
    <w:rsid w:val="008D785A"/>
    <w:rsid w:val="008E2D1B"/>
    <w:rsid w:val="008E5546"/>
    <w:rsid w:val="008E5570"/>
    <w:rsid w:val="008E5E6A"/>
    <w:rsid w:val="008F0A18"/>
    <w:rsid w:val="008F4786"/>
    <w:rsid w:val="00913F54"/>
    <w:rsid w:val="0093553F"/>
    <w:rsid w:val="00956311"/>
    <w:rsid w:val="0098402D"/>
    <w:rsid w:val="00985D0D"/>
    <w:rsid w:val="00994331"/>
    <w:rsid w:val="00996713"/>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45665"/>
    <w:rsid w:val="00A5188D"/>
    <w:rsid w:val="00A52624"/>
    <w:rsid w:val="00A56820"/>
    <w:rsid w:val="00A6550D"/>
    <w:rsid w:val="00A67EFF"/>
    <w:rsid w:val="00A75082"/>
    <w:rsid w:val="00A7698D"/>
    <w:rsid w:val="00A77600"/>
    <w:rsid w:val="00A9254D"/>
    <w:rsid w:val="00AA56B4"/>
    <w:rsid w:val="00AD06CC"/>
    <w:rsid w:val="00AE6715"/>
    <w:rsid w:val="00AF7709"/>
    <w:rsid w:val="00B070F1"/>
    <w:rsid w:val="00B14B8D"/>
    <w:rsid w:val="00B16B4F"/>
    <w:rsid w:val="00B3315E"/>
    <w:rsid w:val="00B367E8"/>
    <w:rsid w:val="00B66274"/>
    <w:rsid w:val="00B7202D"/>
    <w:rsid w:val="00B73DE2"/>
    <w:rsid w:val="00B74DCD"/>
    <w:rsid w:val="00B8158A"/>
    <w:rsid w:val="00B83111"/>
    <w:rsid w:val="00B96F11"/>
    <w:rsid w:val="00BA3767"/>
    <w:rsid w:val="00BA5DB6"/>
    <w:rsid w:val="00BA6C8E"/>
    <w:rsid w:val="00BA71E8"/>
    <w:rsid w:val="00BB717D"/>
    <w:rsid w:val="00BB7D8E"/>
    <w:rsid w:val="00BC2D1F"/>
    <w:rsid w:val="00BC4049"/>
    <w:rsid w:val="00BD0044"/>
    <w:rsid w:val="00BD7E06"/>
    <w:rsid w:val="00BE65BD"/>
    <w:rsid w:val="00BF636F"/>
    <w:rsid w:val="00C1167F"/>
    <w:rsid w:val="00C23084"/>
    <w:rsid w:val="00C265E7"/>
    <w:rsid w:val="00C43281"/>
    <w:rsid w:val="00C440A8"/>
    <w:rsid w:val="00C44149"/>
    <w:rsid w:val="00C50C6A"/>
    <w:rsid w:val="00C72B31"/>
    <w:rsid w:val="00C76106"/>
    <w:rsid w:val="00C84039"/>
    <w:rsid w:val="00C92567"/>
    <w:rsid w:val="00C97F04"/>
    <w:rsid w:val="00CB7364"/>
    <w:rsid w:val="00CC3BEF"/>
    <w:rsid w:val="00CC6D5B"/>
    <w:rsid w:val="00CD2855"/>
    <w:rsid w:val="00CD41DA"/>
    <w:rsid w:val="00CE1545"/>
    <w:rsid w:val="00CE63C5"/>
    <w:rsid w:val="00CF32A5"/>
    <w:rsid w:val="00CF6017"/>
    <w:rsid w:val="00D00E30"/>
    <w:rsid w:val="00D05F1A"/>
    <w:rsid w:val="00D149F9"/>
    <w:rsid w:val="00D1593A"/>
    <w:rsid w:val="00D1780A"/>
    <w:rsid w:val="00D30A38"/>
    <w:rsid w:val="00D45BFB"/>
    <w:rsid w:val="00D70D05"/>
    <w:rsid w:val="00D75751"/>
    <w:rsid w:val="00D83AC9"/>
    <w:rsid w:val="00D85F7D"/>
    <w:rsid w:val="00D9664F"/>
    <w:rsid w:val="00D96E87"/>
    <w:rsid w:val="00DB0742"/>
    <w:rsid w:val="00DD7BB8"/>
    <w:rsid w:val="00E00BF5"/>
    <w:rsid w:val="00E01E01"/>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1067E"/>
    <w:rsid w:val="00F16058"/>
    <w:rsid w:val="00F243EE"/>
    <w:rsid w:val="00F3362D"/>
    <w:rsid w:val="00F37699"/>
    <w:rsid w:val="00F42341"/>
    <w:rsid w:val="00F43BB9"/>
    <w:rsid w:val="00F518F3"/>
    <w:rsid w:val="00F53342"/>
    <w:rsid w:val="00F63799"/>
    <w:rsid w:val="00F65896"/>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9279EC-9BD6-45F7-AF47-2ADC353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6233-142B-453F-BF5D-2E95B00E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34</Pages>
  <Words>11306</Words>
  <Characters>61058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72220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29</cp:revision>
  <cp:lastPrinted>2014-11-26T14:36:00Z</cp:lastPrinted>
  <dcterms:created xsi:type="dcterms:W3CDTF">2014-01-20T21:48:00Z</dcterms:created>
  <dcterms:modified xsi:type="dcterms:W3CDTF">2019-02-26T10:32:00Z</dcterms:modified>
</cp:coreProperties>
</file>